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036A2C" w:rsidTr="00036A2C">
        <w:trPr>
          <w:trHeight w:val="831"/>
        </w:trPr>
        <w:tc>
          <w:tcPr>
            <w:tcW w:w="1476" w:type="dxa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25D56">
              <w:rPr>
                <w:rFonts w:hint="eastAsia"/>
                <w:color w:val="000000"/>
                <w:sz w:val="36"/>
                <w:szCs w:val="36"/>
              </w:rPr>
              <w:t>5.9.9. 媒体传播与新闻学</w:t>
            </w:r>
          </w:p>
        </w:tc>
        <w:tc>
          <w:tcPr>
            <w:tcW w:w="1356" w:type="dxa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25D56">
              <w:rPr>
                <w:rFonts w:hint="eastAsia"/>
                <w:color w:val="000000"/>
                <w:sz w:val="36"/>
                <w:szCs w:val="36"/>
              </w:rPr>
              <w:t>媒体传播与新闻学</w:t>
            </w:r>
          </w:p>
        </w:tc>
        <w:tc>
          <w:tcPr>
            <w:tcW w:w="1357" w:type="dxa"/>
            <w:shd w:val="clear" w:color="auto" w:fill="FFFFFF" w:themeFill="background1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语文与新闻</w:t>
            </w:r>
            <w:bookmarkStart w:id="0" w:name="_GoBack"/>
            <w:bookmarkEnd w:id="0"/>
            <w:r>
              <w:rPr>
                <w:rFonts w:hint="eastAsia"/>
                <w:color w:val="000000"/>
                <w:sz w:val="36"/>
                <w:szCs w:val="36"/>
              </w:rPr>
              <w:t>学院</w:t>
            </w:r>
          </w:p>
        </w:tc>
        <w:tc>
          <w:tcPr>
            <w:tcW w:w="1349" w:type="dxa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036A2C" w:rsidRPr="00723CB4" w:rsidTr="00D63A60">
        <w:trPr>
          <w:trHeight w:val="831"/>
        </w:trPr>
        <w:tc>
          <w:tcPr>
            <w:tcW w:w="9578" w:type="dxa"/>
            <w:gridSpan w:val="7"/>
          </w:tcPr>
          <w:p w:rsidR="00036A2C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9012FC">
              <w:rPr>
                <w:rFonts w:hint="eastAsia"/>
                <w:color w:val="000000"/>
                <w:sz w:val="36"/>
                <w:szCs w:val="36"/>
              </w:rPr>
              <w:t>该专业旨在培养</w:t>
            </w:r>
            <w:r>
              <w:rPr>
                <w:rFonts w:hint="eastAsia"/>
                <w:color w:val="000000"/>
                <w:sz w:val="36"/>
                <w:szCs w:val="36"/>
              </w:rPr>
              <w:t>学生在</w:t>
            </w:r>
            <w:r w:rsidRPr="009012FC">
              <w:rPr>
                <w:rFonts w:hint="eastAsia"/>
                <w:color w:val="000000"/>
                <w:sz w:val="36"/>
                <w:szCs w:val="36"/>
              </w:rPr>
              <w:t>媒体传播和新闻学领域的研究活动</w:t>
            </w:r>
            <w:r>
              <w:rPr>
                <w:rFonts w:hint="eastAsia"/>
                <w:color w:val="000000"/>
                <w:sz w:val="36"/>
                <w:szCs w:val="36"/>
              </w:rPr>
              <w:t>能力</w:t>
            </w:r>
            <w:r w:rsidRPr="009012FC">
              <w:rPr>
                <w:rFonts w:hint="eastAsia"/>
                <w:color w:val="000000"/>
                <w:sz w:val="36"/>
                <w:szCs w:val="36"/>
              </w:rPr>
              <w:t>。在该专业框架内，将对媒体空间的融合过程进行研究；深入研究媒体传播中社会文化过程的表现形式、大众传播工具和大众媒体的运作机制和原则。在该专业的学习中，博士生们将通过研究来提高自身的创新能力、媒体能力和媒体素养；培养</w:t>
            </w:r>
            <w:r>
              <w:rPr>
                <w:rFonts w:hint="eastAsia"/>
                <w:color w:val="000000"/>
                <w:sz w:val="36"/>
                <w:szCs w:val="36"/>
              </w:rPr>
              <w:t>学生</w:t>
            </w:r>
            <w:r w:rsidRPr="009012FC">
              <w:rPr>
                <w:rFonts w:hint="eastAsia"/>
                <w:color w:val="000000"/>
                <w:sz w:val="36"/>
                <w:szCs w:val="36"/>
              </w:rPr>
              <w:t>在媒体传播和新闻学领域独立制定当前和未来科学研究任务的能力，并在现代方法和技术的帮助下解决这些问题。提高</w:t>
            </w:r>
            <w:r>
              <w:rPr>
                <w:rFonts w:hint="eastAsia"/>
                <w:color w:val="000000"/>
                <w:sz w:val="36"/>
                <w:szCs w:val="36"/>
              </w:rPr>
              <w:t>学生</w:t>
            </w:r>
            <w:r w:rsidRPr="009012FC">
              <w:rPr>
                <w:rFonts w:hint="eastAsia"/>
                <w:color w:val="000000"/>
                <w:sz w:val="36"/>
                <w:szCs w:val="36"/>
              </w:rPr>
              <w:t>对新闻和媒体领域最重要现象的历史功能分析和比较分析能力、对媒体传播中社会文化进程的批判性认识、对现代媒体教育问题的概念性理解。为解决大众传媒和传播领域的专业问题，培养学生开发各类科学交流的技能，以及在高等教育教学计划中开发和实施科学项目和教学活动。</w:t>
            </w:r>
          </w:p>
          <w:p w:rsidR="00036A2C" w:rsidRPr="00723CB4" w:rsidRDefault="00036A2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723CB4">
              <w:rPr>
                <w:rFonts w:hint="eastAsia"/>
                <w:color w:val="000000"/>
                <w:sz w:val="36"/>
                <w:szCs w:val="36"/>
              </w:rPr>
              <w:t>高等院校教授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723CB4">
              <w:rPr>
                <w:rFonts w:hint="eastAsia"/>
                <w:color w:val="000000"/>
                <w:sz w:val="36"/>
                <w:szCs w:val="36"/>
              </w:rPr>
              <w:t>媒体传播领域研究员</w:t>
            </w:r>
          </w:p>
          <w:p w:rsidR="00036A2C" w:rsidRPr="00723CB4" w:rsidRDefault="00036A2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036A2C" w:rsidRPr="00723CB4" w:rsidRDefault="00036A2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723CB4">
              <w:rPr>
                <w:rFonts w:hint="eastAsia"/>
                <w:color w:val="000000"/>
                <w:sz w:val="36"/>
                <w:szCs w:val="36"/>
              </w:rPr>
              <w:t>媒体传播与新闻学</w:t>
            </w:r>
          </w:p>
          <w:p w:rsidR="00036A2C" w:rsidRPr="00723CB4" w:rsidRDefault="00036A2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723CB4">
              <w:rPr>
                <w:rFonts w:hint="eastAsia"/>
                <w:color w:val="000000"/>
                <w:sz w:val="36"/>
                <w:szCs w:val="36"/>
              </w:rPr>
              <w:t>媒体空间的聚合过程</w:t>
            </w:r>
          </w:p>
          <w:p w:rsidR="00036A2C" w:rsidRPr="00723CB4" w:rsidRDefault="00036A2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723CB4">
              <w:rPr>
                <w:rFonts w:hint="eastAsia"/>
                <w:color w:val="000000"/>
                <w:sz w:val="36"/>
                <w:szCs w:val="36"/>
              </w:rPr>
              <w:t>媒体传播中社会文化过程的表现形式</w:t>
            </w:r>
          </w:p>
          <w:p w:rsidR="00036A2C" w:rsidRPr="00723CB4" w:rsidRDefault="00036A2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723CB4">
              <w:rPr>
                <w:rFonts w:hint="eastAsia"/>
                <w:color w:val="000000"/>
                <w:sz w:val="36"/>
                <w:szCs w:val="36"/>
              </w:rPr>
              <w:t>媒体传播与新闻学领域专业学科的教学方法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7"/>
    <w:rsid w:val="00036A2C"/>
    <w:rsid w:val="001E2DD2"/>
    <w:rsid w:val="00383F03"/>
    <w:rsid w:val="00840F38"/>
    <w:rsid w:val="0086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0AD4-5D09-483E-9B28-082961C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A2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03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2024-03-12T06:58:00Z</dcterms:created>
  <dcterms:modified xsi:type="dcterms:W3CDTF">2024-03-12T06:58:00Z</dcterms:modified>
</cp:coreProperties>
</file>